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2193" w14:textId="171F3D3C" w:rsidR="00EF7F19" w:rsidRPr="00681852" w:rsidRDefault="00681852" w:rsidP="00681852">
      <w:pPr>
        <w:ind w:right="-72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NCDA Committee Mid-Year Report</w:t>
      </w:r>
    </w:p>
    <w:p w14:paraId="61A2A3DA" w14:textId="5CFFB00E" w:rsidR="00EF7F19" w:rsidRPr="00B0264E" w:rsidRDefault="00E530B3" w:rsidP="00681852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</w:p>
    <w:p w14:paraId="183E2A54" w14:textId="65B196E2" w:rsidR="007C1EB6" w:rsidRDefault="004C474A" w:rsidP="00681852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2023</w:t>
      </w:r>
    </w:p>
    <w:p w14:paraId="68F64932" w14:textId="77777777" w:rsidR="00681852" w:rsidRPr="00681852" w:rsidRDefault="00681852" w:rsidP="00681852">
      <w:pPr>
        <w:ind w:right="-720"/>
        <w:jc w:val="center"/>
        <w:rPr>
          <w:rFonts w:ascii="Arial" w:hAnsi="Arial" w:cs="Arial"/>
        </w:rPr>
      </w:pPr>
    </w:p>
    <w:p w14:paraId="779F05BA" w14:textId="77777777" w:rsidR="00F34CE1" w:rsidRPr="00681852" w:rsidRDefault="00F34CE1" w:rsidP="00EF7F19">
      <w:pPr>
        <w:ind w:right="-720"/>
        <w:rPr>
          <w:rFonts w:ascii="Arial" w:hAnsi="Arial" w:cs="Arial"/>
          <w:b/>
          <w:sz w:val="12"/>
          <w:szCs w:val="12"/>
        </w:rPr>
      </w:pPr>
    </w:p>
    <w:p w14:paraId="73FF416A" w14:textId="7333870D" w:rsidR="00CE6A64" w:rsidRPr="00113615" w:rsidRDefault="00CE6A64" w:rsidP="00EF7F19">
      <w:pPr>
        <w:ind w:right="-720"/>
        <w:rPr>
          <w:rFonts w:ascii="Arial" w:hAnsi="Arial" w:cs="Arial"/>
          <w:b/>
          <w:bCs/>
        </w:rPr>
      </w:pPr>
      <w:r w:rsidRPr="00113615">
        <w:rPr>
          <w:rFonts w:ascii="Arial" w:hAnsi="Arial" w:cs="Arial"/>
          <w:b/>
          <w:bCs/>
        </w:rPr>
        <w:t>Leadership Information</w:t>
      </w:r>
      <w:r w:rsidR="00666266" w:rsidRPr="00113615">
        <w:rPr>
          <w:rFonts w:ascii="Arial" w:hAnsi="Arial" w:cs="Arial"/>
          <w:b/>
          <w:bCs/>
        </w:rPr>
        <w:t xml:space="preserve"> </w:t>
      </w:r>
      <w:r w:rsidR="00113615" w:rsidRPr="00113615">
        <w:rPr>
          <w:rFonts w:ascii="Arial" w:hAnsi="Arial" w:cs="Arial"/>
          <w:b/>
          <w:bCs/>
        </w:rPr>
        <w:t>&amp; Council Member Updates</w:t>
      </w:r>
      <w:r w:rsidR="00666266" w:rsidRPr="00113615">
        <w:rPr>
          <w:rFonts w:ascii="Arial" w:hAnsi="Arial" w:cs="Arial"/>
          <w:b/>
          <w:bCs/>
        </w:rPr>
        <w:t>:</w:t>
      </w:r>
    </w:p>
    <w:p w14:paraId="68A2D5B0" w14:textId="77777777" w:rsidR="00113615" w:rsidRDefault="007C1EB6" w:rsidP="00113615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</w:rPr>
      </w:pPr>
      <w:r w:rsidRPr="00113615">
        <w:rPr>
          <w:rFonts w:ascii="Arial" w:hAnsi="Arial" w:cs="Arial"/>
        </w:rPr>
        <w:t xml:space="preserve">Chair </w:t>
      </w:r>
      <w:r w:rsidR="00CE6A64" w:rsidRPr="00113615">
        <w:rPr>
          <w:rFonts w:ascii="Arial" w:hAnsi="Arial" w:cs="Arial"/>
        </w:rPr>
        <w:t xml:space="preserve">and Co-Chair from </w:t>
      </w:r>
      <w:r w:rsidR="00C33CAD" w:rsidRPr="00113615">
        <w:rPr>
          <w:rFonts w:ascii="Arial" w:hAnsi="Arial" w:cs="Arial"/>
        </w:rPr>
        <w:t>2022-2023:</w:t>
      </w:r>
    </w:p>
    <w:p w14:paraId="41C79268" w14:textId="77777777" w:rsidR="00113615" w:rsidRPr="00113615" w:rsidRDefault="00C33CAD" w:rsidP="00113615">
      <w:pPr>
        <w:pStyle w:val="ListParagraph"/>
        <w:numPr>
          <w:ilvl w:val="1"/>
          <w:numId w:val="3"/>
        </w:numPr>
        <w:ind w:right="-720"/>
        <w:rPr>
          <w:rStyle w:val="Hyperlink"/>
          <w:rFonts w:ascii="Arial" w:hAnsi="Arial" w:cs="Arial"/>
          <w:color w:val="auto"/>
          <w:u w:val="none"/>
        </w:rPr>
      </w:pPr>
      <w:r w:rsidRPr="00113615">
        <w:rPr>
          <w:rFonts w:ascii="Arial" w:hAnsi="Arial" w:cs="Arial"/>
          <w:b/>
        </w:rPr>
        <w:t>Immediate Past Chair:</w:t>
      </w:r>
      <w:r w:rsidRPr="00113615">
        <w:rPr>
          <w:rFonts w:ascii="Arial" w:hAnsi="Arial" w:cs="Arial"/>
        </w:rPr>
        <w:t xml:space="preserve"> </w:t>
      </w:r>
      <w:r w:rsidR="00E530B3" w:rsidRPr="00113615">
        <w:rPr>
          <w:rFonts w:ascii="Arial" w:hAnsi="Arial" w:cs="Arial"/>
        </w:rPr>
        <w:t>Emily Bullock Yowell</w:t>
      </w:r>
      <w:r w:rsidR="00EF1A65" w:rsidRPr="00113615">
        <w:rPr>
          <w:rFonts w:ascii="Arial" w:hAnsi="Arial" w:cs="Arial"/>
        </w:rPr>
        <w:t xml:space="preserve">, </w:t>
      </w:r>
      <w:hyperlink r:id="rId9" w:history="1">
        <w:r w:rsidR="00E530B3" w:rsidRPr="00113615">
          <w:rPr>
            <w:rStyle w:val="Hyperlink"/>
            <w:rFonts w:ascii="Arial" w:hAnsi="Arial" w:cs="Arial"/>
          </w:rPr>
          <w:t>Emily.Yowell@usm.edu</w:t>
        </w:r>
      </w:hyperlink>
    </w:p>
    <w:p w14:paraId="3BA325AF" w14:textId="61DFA1EE" w:rsidR="00666266" w:rsidRPr="00113615" w:rsidRDefault="00C33CAD" w:rsidP="00113615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</w:rPr>
      </w:pPr>
      <w:r w:rsidRPr="00113615">
        <w:rPr>
          <w:rFonts w:ascii="Arial" w:hAnsi="Arial" w:cs="Arial"/>
          <w:b/>
        </w:rPr>
        <w:t xml:space="preserve">Current Chair: </w:t>
      </w:r>
      <w:r w:rsidRPr="00113615">
        <w:rPr>
          <w:rFonts w:ascii="Arial" w:hAnsi="Arial" w:cs="Arial"/>
          <w:i/>
        </w:rPr>
        <w:t xml:space="preserve">Open </w:t>
      </w:r>
      <w:r w:rsidRPr="00113615">
        <w:rPr>
          <w:rFonts w:ascii="Arial" w:hAnsi="Arial" w:cs="Arial"/>
        </w:rPr>
        <w:t>– in pro</w:t>
      </w:r>
      <w:r w:rsidR="00D52640">
        <w:rPr>
          <w:rFonts w:ascii="Arial" w:hAnsi="Arial" w:cs="Arial"/>
        </w:rPr>
        <w:t>c</w:t>
      </w:r>
      <w:r w:rsidRPr="00113615">
        <w:rPr>
          <w:rFonts w:ascii="Arial" w:hAnsi="Arial" w:cs="Arial"/>
        </w:rPr>
        <w:t>ess identifying new chair</w:t>
      </w:r>
    </w:p>
    <w:p w14:paraId="6F277A98" w14:textId="77777777" w:rsidR="00E530B3" w:rsidRPr="00681852" w:rsidRDefault="00E530B3" w:rsidP="00C33CAD">
      <w:pPr>
        <w:ind w:right="-720"/>
        <w:rPr>
          <w:rFonts w:ascii="Arial" w:hAnsi="Arial" w:cs="Arial"/>
          <w:sz w:val="12"/>
          <w:szCs w:val="12"/>
        </w:rPr>
      </w:pPr>
    </w:p>
    <w:p w14:paraId="0A2A6B9E" w14:textId="72D112ED" w:rsidR="00EF7F19" w:rsidRPr="00113615" w:rsidRDefault="00254D40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</w:rPr>
      </w:pPr>
      <w:r w:rsidRPr="00113615">
        <w:rPr>
          <w:rFonts w:ascii="Arial" w:hAnsi="Arial" w:cs="Arial"/>
        </w:rPr>
        <w:t xml:space="preserve">Committee </w:t>
      </w:r>
      <w:r w:rsidR="00EF7F19" w:rsidRPr="00113615">
        <w:rPr>
          <w:rFonts w:ascii="Arial" w:hAnsi="Arial" w:cs="Arial"/>
        </w:rPr>
        <w:t>Member</w:t>
      </w:r>
      <w:r w:rsidR="00C33CAD" w:rsidRPr="00113615">
        <w:rPr>
          <w:rFonts w:ascii="Arial" w:hAnsi="Arial" w:cs="Arial"/>
        </w:rPr>
        <w:t>s:</w:t>
      </w:r>
    </w:p>
    <w:p w14:paraId="6AC0B76A" w14:textId="77777777" w:rsidR="00666266" w:rsidRPr="00113615" w:rsidRDefault="00666266" w:rsidP="00666266">
      <w:pPr>
        <w:pStyle w:val="ListParagraph"/>
        <w:ind w:right="-720"/>
        <w:rPr>
          <w:rFonts w:ascii="Arial" w:hAnsi="Arial" w:cs="Arial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1620"/>
      </w:tblGrid>
      <w:tr w:rsidR="00E530B3" w:rsidRPr="00113615" w14:paraId="22EA30AC" w14:textId="77777777" w:rsidTr="00C33CAD">
        <w:tc>
          <w:tcPr>
            <w:tcW w:w="2520" w:type="dxa"/>
          </w:tcPr>
          <w:p w14:paraId="6061F1DC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615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288865E1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615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13B9443B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615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20" w:type="dxa"/>
          </w:tcPr>
          <w:p w14:paraId="457B3698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615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E530B3" w:rsidRPr="00113615" w14:paraId="76542EFD" w14:textId="77777777" w:rsidTr="00C33CAD">
        <w:tc>
          <w:tcPr>
            <w:tcW w:w="2520" w:type="dxa"/>
          </w:tcPr>
          <w:p w14:paraId="235B4967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Jenn Leard</w:t>
            </w:r>
          </w:p>
        </w:tc>
        <w:tc>
          <w:tcPr>
            <w:tcW w:w="1890" w:type="dxa"/>
          </w:tcPr>
          <w:p w14:paraId="001BBBAE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2FBABB9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4BF7A3D0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2023</w:t>
            </w:r>
          </w:p>
        </w:tc>
      </w:tr>
      <w:tr w:rsidR="00E530B3" w:rsidRPr="00113615" w14:paraId="5E810C4F" w14:textId="77777777" w:rsidTr="00C33CAD">
        <w:trPr>
          <w:trHeight w:val="287"/>
        </w:trPr>
        <w:tc>
          <w:tcPr>
            <w:tcW w:w="2520" w:type="dxa"/>
          </w:tcPr>
          <w:p w14:paraId="169B843E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 xml:space="preserve">Chris Briddick </w:t>
            </w:r>
          </w:p>
        </w:tc>
        <w:tc>
          <w:tcPr>
            <w:tcW w:w="1890" w:type="dxa"/>
          </w:tcPr>
          <w:p w14:paraId="672CFA64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38EAD30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5396E2A1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2023</w:t>
            </w:r>
          </w:p>
        </w:tc>
      </w:tr>
      <w:tr w:rsidR="00E530B3" w:rsidRPr="00113615" w14:paraId="614A29A1" w14:textId="77777777" w:rsidTr="00C33CAD">
        <w:tc>
          <w:tcPr>
            <w:tcW w:w="2520" w:type="dxa"/>
          </w:tcPr>
          <w:p w14:paraId="54E9F3EC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E3F7D87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4BF60E2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4CF4AAD2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2024</w:t>
            </w:r>
          </w:p>
        </w:tc>
      </w:tr>
      <w:tr w:rsidR="00E530B3" w:rsidRPr="00113615" w14:paraId="0FCBD5DB" w14:textId="77777777" w:rsidTr="00C33CAD">
        <w:tc>
          <w:tcPr>
            <w:tcW w:w="2520" w:type="dxa"/>
          </w:tcPr>
          <w:p w14:paraId="752C028A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Michael Hall</w:t>
            </w:r>
          </w:p>
        </w:tc>
        <w:tc>
          <w:tcPr>
            <w:tcW w:w="1890" w:type="dxa"/>
          </w:tcPr>
          <w:p w14:paraId="346A6E68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721A5270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6D9778A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2024</w:t>
            </w:r>
          </w:p>
        </w:tc>
      </w:tr>
      <w:tr w:rsidR="00C33CAD" w:rsidRPr="00113615" w14:paraId="41865352" w14:textId="77777777" w:rsidTr="00C33CAD">
        <w:tc>
          <w:tcPr>
            <w:tcW w:w="2520" w:type="dxa"/>
          </w:tcPr>
          <w:p w14:paraId="1C916209" w14:textId="549EB120" w:rsidR="00C33CAD" w:rsidRPr="00113615" w:rsidRDefault="00C33CAD" w:rsidP="00C33CAD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Jessamyn Perlus</w:t>
            </w:r>
          </w:p>
        </w:tc>
        <w:tc>
          <w:tcPr>
            <w:tcW w:w="1890" w:type="dxa"/>
          </w:tcPr>
          <w:p w14:paraId="106AABEB" w14:textId="16613102" w:rsidR="00C33CAD" w:rsidRPr="00113615" w:rsidRDefault="00C33CAD" w:rsidP="00C33CAD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  <w:shd w:val="clear" w:color="auto" w:fill="FFFFFF" w:themeFill="background1"/>
          </w:tcPr>
          <w:p w14:paraId="67521622" w14:textId="2823F472" w:rsidR="00C33CAD" w:rsidRPr="00113615" w:rsidRDefault="00C33CAD" w:rsidP="00C33CAD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5328064B" w14:textId="6A53A305" w:rsidR="00C33CAD" w:rsidRPr="00113615" w:rsidRDefault="00C33CAD" w:rsidP="00C33CAD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</w:t>
            </w:r>
            <w:r w:rsidR="00030E7E">
              <w:rPr>
                <w:rFonts w:ascii="Arial" w:hAnsi="Arial" w:cs="Arial"/>
              </w:rPr>
              <w:t>5</w:t>
            </w:r>
          </w:p>
        </w:tc>
      </w:tr>
      <w:tr w:rsidR="00C33CAD" w:rsidRPr="00113615" w14:paraId="649F60B7" w14:textId="77777777" w:rsidTr="00C33CAD">
        <w:tc>
          <w:tcPr>
            <w:tcW w:w="2520" w:type="dxa"/>
          </w:tcPr>
          <w:p w14:paraId="6D17EA19" w14:textId="7989AD7C" w:rsidR="00C33CAD" w:rsidRPr="00113615" w:rsidRDefault="00C33CAD" w:rsidP="00C33CAD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Spencer Niles</w:t>
            </w:r>
          </w:p>
        </w:tc>
        <w:tc>
          <w:tcPr>
            <w:tcW w:w="1890" w:type="dxa"/>
          </w:tcPr>
          <w:p w14:paraId="497CC3C2" w14:textId="72836728" w:rsidR="00C33CAD" w:rsidRPr="00113615" w:rsidRDefault="00C33CAD" w:rsidP="00C33CAD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  <w:shd w:val="clear" w:color="auto" w:fill="FFFFFF" w:themeFill="background1"/>
          </w:tcPr>
          <w:p w14:paraId="526EBAEC" w14:textId="7D4E55A5" w:rsidR="00C33CAD" w:rsidRPr="00113615" w:rsidRDefault="00C33CAD" w:rsidP="00C33CAD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D05DA94" w14:textId="25A1F107" w:rsidR="00C33CAD" w:rsidRPr="00113615" w:rsidRDefault="00C33CAD" w:rsidP="00C33CAD">
            <w:pPr>
              <w:jc w:val="center"/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202</w:t>
            </w:r>
            <w:r w:rsidR="00030E7E">
              <w:rPr>
                <w:rFonts w:ascii="Arial" w:hAnsi="Arial" w:cs="Arial"/>
              </w:rPr>
              <w:t>5</w:t>
            </w:r>
          </w:p>
        </w:tc>
      </w:tr>
      <w:tr w:rsidR="00E530B3" w:rsidRPr="00113615" w14:paraId="29B70551" w14:textId="77777777" w:rsidTr="00C33CAD">
        <w:tc>
          <w:tcPr>
            <w:tcW w:w="2520" w:type="dxa"/>
          </w:tcPr>
          <w:p w14:paraId="19D7FB9E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Darrin Carr</w:t>
            </w:r>
          </w:p>
        </w:tc>
        <w:tc>
          <w:tcPr>
            <w:tcW w:w="1890" w:type="dxa"/>
          </w:tcPr>
          <w:p w14:paraId="0DDC93B3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21AEF73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</w:tcPr>
          <w:p w14:paraId="3E60FC2C" w14:textId="77777777" w:rsidR="00E530B3" w:rsidRPr="00113615" w:rsidRDefault="00E530B3" w:rsidP="006603C1">
            <w:pPr>
              <w:jc w:val="center"/>
              <w:rPr>
                <w:rFonts w:ascii="Arial" w:hAnsi="Arial" w:cs="Arial"/>
              </w:rPr>
            </w:pPr>
          </w:p>
        </w:tc>
      </w:tr>
      <w:tr w:rsidR="00E530B3" w:rsidRPr="00113615" w14:paraId="2CCE71E1" w14:textId="77777777" w:rsidTr="00C33CAD">
        <w:tc>
          <w:tcPr>
            <w:tcW w:w="2520" w:type="dxa"/>
          </w:tcPr>
          <w:p w14:paraId="6D53CC64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42D4FB9C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FC55D12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620" w:type="dxa"/>
            <w:shd w:val="clear" w:color="auto" w:fill="808080"/>
          </w:tcPr>
          <w:p w14:paraId="51906DBB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E530B3" w:rsidRPr="00113615" w14:paraId="510720EB" w14:textId="77777777" w:rsidTr="00C33CAD">
        <w:tc>
          <w:tcPr>
            <w:tcW w:w="2520" w:type="dxa"/>
          </w:tcPr>
          <w:p w14:paraId="06F3A181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 xml:space="preserve">Julia Panke Makela </w:t>
            </w:r>
          </w:p>
        </w:tc>
        <w:tc>
          <w:tcPr>
            <w:tcW w:w="1890" w:type="dxa"/>
          </w:tcPr>
          <w:p w14:paraId="4B878065" w14:textId="77777777" w:rsidR="00E530B3" w:rsidRPr="00113615" w:rsidRDefault="00E530B3" w:rsidP="006603C1">
            <w:pPr>
              <w:rPr>
                <w:rFonts w:ascii="Arial" w:hAnsi="Arial" w:cs="Arial"/>
              </w:rPr>
            </w:pPr>
            <w:r w:rsidRPr="00113615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285574D1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620" w:type="dxa"/>
            <w:shd w:val="clear" w:color="auto" w:fill="808080"/>
          </w:tcPr>
          <w:p w14:paraId="716F2C65" w14:textId="77777777" w:rsidR="00E530B3" w:rsidRPr="00113615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681852" w:rsidRDefault="00EF7F19" w:rsidP="00EF7F19">
      <w:pPr>
        <w:ind w:right="-720"/>
        <w:rPr>
          <w:rFonts w:ascii="Arial" w:hAnsi="Arial" w:cs="Arial"/>
          <w:b/>
          <w:sz w:val="12"/>
          <w:szCs w:val="12"/>
        </w:rPr>
      </w:pPr>
    </w:p>
    <w:p w14:paraId="1E374C58" w14:textId="4B78A7B6" w:rsidR="00113615" w:rsidRPr="00113615" w:rsidRDefault="00113615" w:rsidP="0066626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113615">
        <w:rPr>
          <w:rFonts w:ascii="Arial" w:hAnsi="Arial" w:cs="Arial"/>
        </w:rPr>
        <w:t>Updates:</w:t>
      </w:r>
    </w:p>
    <w:p w14:paraId="6414CACB" w14:textId="051D60F8" w:rsidR="00666266" w:rsidRPr="00113615" w:rsidRDefault="00666266" w:rsidP="00113615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113615">
        <w:rPr>
          <w:rFonts w:ascii="Arial" w:hAnsi="Arial" w:cs="Arial"/>
        </w:rPr>
        <w:t>PDC Chair position is currently vacant as the Council seeks leadership</w:t>
      </w:r>
      <w:r w:rsidR="00681852">
        <w:rPr>
          <w:rFonts w:ascii="Arial" w:hAnsi="Arial" w:cs="Arial"/>
        </w:rPr>
        <w:t>.</w:t>
      </w:r>
    </w:p>
    <w:p w14:paraId="42EBDF6F" w14:textId="2072BE2B" w:rsidR="00666266" w:rsidRPr="00113615" w:rsidRDefault="00666266" w:rsidP="00113615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113615">
        <w:rPr>
          <w:rFonts w:ascii="Arial" w:hAnsi="Arial" w:cs="Arial"/>
        </w:rPr>
        <w:t xml:space="preserve">The PDC was excited to welcome two new </w:t>
      </w:r>
      <w:r w:rsidR="00681852">
        <w:rPr>
          <w:rFonts w:ascii="Arial" w:hAnsi="Arial" w:cs="Arial"/>
        </w:rPr>
        <w:t>members:</w:t>
      </w:r>
      <w:r w:rsidRPr="00113615">
        <w:rPr>
          <w:rFonts w:ascii="Arial" w:hAnsi="Arial" w:cs="Arial"/>
        </w:rPr>
        <w:t xml:space="preserve"> Jessamyn Perlus and Spencer Niles. </w:t>
      </w:r>
    </w:p>
    <w:p w14:paraId="7DAF1A2E" w14:textId="46369A5A" w:rsidR="00666266" w:rsidRPr="00113615" w:rsidRDefault="00681852" w:rsidP="00113615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66266" w:rsidRPr="00113615">
        <w:rPr>
          <w:rFonts w:ascii="Arial" w:hAnsi="Arial" w:cs="Arial"/>
        </w:rPr>
        <w:t xml:space="preserve">econd-term members, Chris Briddick and Jenn Leard, </w:t>
      </w:r>
      <w:r>
        <w:rPr>
          <w:rFonts w:ascii="Arial" w:hAnsi="Arial" w:cs="Arial"/>
        </w:rPr>
        <w:t>end terms with PDC in September.</w:t>
      </w:r>
    </w:p>
    <w:p w14:paraId="5F441561" w14:textId="77777777" w:rsidR="00666266" w:rsidRPr="00113615" w:rsidRDefault="00666266" w:rsidP="00666266">
      <w:pPr>
        <w:ind w:right="-720"/>
        <w:rPr>
          <w:rFonts w:ascii="Arial" w:hAnsi="Arial" w:cs="Arial"/>
          <w:b/>
        </w:rPr>
      </w:pPr>
    </w:p>
    <w:p w14:paraId="29222DA2" w14:textId="020DC010" w:rsidR="00283823" w:rsidRPr="00113615" w:rsidRDefault="00EF7F19" w:rsidP="00666266">
      <w:pPr>
        <w:ind w:right="-720"/>
        <w:rPr>
          <w:rFonts w:ascii="Arial" w:hAnsi="Arial" w:cs="Arial"/>
          <w:b/>
        </w:rPr>
      </w:pPr>
      <w:r w:rsidRPr="00113615">
        <w:rPr>
          <w:rFonts w:ascii="Arial" w:hAnsi="Arial" w:cs="Arial"/>
          <w:b/>
        </w:rPr>
        <w:t>Committee Activities to Dat</w:t>
      </w:r>
      <w:r w:rsidR="00666266" w:rsidRPr="00113615">
        <w:rPr>
          <w:rFonts w:ascii="Arial" w:hAnsi="Arial" w:cs="Arial"/>
          <w:b/>
        </w:rPr>
        <w:t>e</w:t>
      </w:r>
      <w:r w:rsidR="008C1454">
        <w:rPr>
          <w:rFonts w:ascii="Arial" w:hAnsi="Arial" w:cs="Arial"/>
          <w:b/>
        </w:rPr>
        <w:t xml:space="preserve">: </w:t>
      </w:r>
    </w:p>
    <w:p w14:paraId="3E908758" w14:textId="6518198B" w:rsidR="00666266" w:rsidRPr="00113615" w:rsidRDefault="00666266" w:rsidP="0011392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113615">
        <w:rPr>
          <w:rFonts w:ascii="Arial" w:hAnsi="Arial" w:cs="Arial"/>
        </w:rPr>
        <w:t xml:space="preserve">The PDC met virtually in November and February </w:t>
      </w:r>
    </w:p>
    <w:p w14:paraId="06D81D51" w14:textId="43E3AA7F" w:rsidR="00113922" w:rsidRPr="00113615" w:rsidRDefault="00113615" w:rsidP="0011392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113615">
        <w:rPr>
          <w:rFonts w:ascii="Arial" w:hAnsi="Arial" w:cs="Arial"/>
          <w:iCs/>
        </w:rPr>
        <w:t>Timely</w:t>
      </w:r>
      <w:r w:rsidR="00113922" w:rsidRPr="00113615">
        <w:rPr>
          <w:rFonts w:ascii="Arial" w:hAnsi="Arial" w:cs="Arial"/>
          <w:iCs/>
        </w:rPr>
        <w:t xml:space="preserve"> progress on the 2</w:t>
      </w:r>
      <w:r w:rsidR="00113922" w:rsidRPr="00113615">
        <w:rPr>
          <w:rFonts w:ascii="Arial" w:hAnsi="Arial" w:cs="Arial"/>
          <w:iCs/>
          <w:vertAlign w:val="superscript"/>
        </w:rPr>
        <w:t>nd</w:t>
      </w:r>
      <w:r w:rsidR="00113922" w:rsidRPr="00113615">
        <w:rPr>
          <w:rFonts w:ascii="Arial" w:hAnsi="Arial" w:cs="Arial"/>
          <w:iCs/>
        </w:rPr>
        <w:t xml:space="preserve"> edition of the </w:t>
      </w:r>
      <w:r>
        <w:rPr>
          <w:rFonts w:ascii="Arial" w:hAnsi="Arial" w:cs="Arial"/>
          <w:iCs/>
        </w:rPr>
        <w:t>“</w:t>
      </w:r>
      <w:r w:rsidR="00113922" w:rsidRPr="00113615">
        <w:rPr>
          <w:rFonts w:ascii="Arial" w:hAnsi="Arial" w:cs="Arial"/>
          <w:iCs/>
        </w:rPr>
        <w:t>Designing &amp; Implementing Career Programs</w:t>
      </w:r>
      <w:r>
        <w:rPr>
          <w:rFonts w:ascii="Arial" w:hAnsi="Arial" w:cs="Arial"/>
          <w:iCs/>
        </w:rPr>
        <w:t>”</w:t>
      </w:r>
      <w:r w:rsidR="00113922" w:rsidRPr="00113615">
        <w:rPr>
          <w:rFonts w:ascii="Arial" w:hAnsi="Arial" w:cs="Arial"/>
          <w:iCs/>
        </w:rPr>
        <w:t xml:space="preserve"> (</w:t>
      </w:r>
      <w:r w:rsidR="006F401C" w:rsidRPr="00113615">
        <w:rPr>
          <w:rFonts w:ascii="Arial" w:hAnsi="Arial" w:cs="Arial"/>
          <w:iCs/>
        </w:rPr>
        <w:t xml:space="preserve">authors: </w:t>
      </w:r>
      <w:r w:rsidR="00113922" w:rsidRPr="00113615">
        <w:rPr>
          <w:rFonts w:ascii="Arial" w:hAnsi="Arial" w:cs="Arial"/>
          <w:iCs/>
        </w:rPr>
        <w:t>Sampson &amp; Lenz) monograph</w:t>
      </w:r>
      <w:r w:rsidRPr="00113615">
        <w:rPr>
          <w:rFonts w:ascii="Arial" w:hAnsi="Arial" w:cs="Arial"/>
          <w:iCs/>
        </w:rPr>
        <w:t xml:space="preserve"> continues, with planned release at the</w:t>
      </w:r>
      <w:r w:rsidR="00113922" w:rsidRPr="00113615">
        <w:rPr>
          <w:rFonts w:ascii="Arial" w:hAnsi="Arial" w:cs="Arial"/>
          <w:iCs/>
        </w:rPr>
        <w:t xml:space="preserve"> June 2023 conference. </w:t>
      </w:r>
      <w:r w:rsidR="00113922" w:rsidRPr="00113615">
        <w:rPr>
          <w:rFonts w:ascii="Arial" w:hAnsi="Arial" w:cs="Arial"/>
          <w:i/>
          <w:iCs/>
        </w:rPr>
        <w:t xml:space="preserve">Content editors for this publication are </w:t>
      </w:r>
      <w:r w:rsidR="00B7205D" w:rsidRPr="00113615">
        <w:rPr>
          <w:rFonts w:ascii="Arial" w:hAnsi="Arial" w:cs="Arial"/>
          <w:i/>
          <w:iCs/>
        </w:rPr>
        <w:t>Heather Robertson and Michael Hall</w:t>
      </w:r>
      <w:r w:rsidR="00113922" w:rsidRPr="00113615">
        <w:rPr>
          <w:rFonts w:ascii="Arial" w:hAnsi="Arial" w:cs="Arial"/>
          <w:i/>
          <w:iCs/>
        </w:rPr>
        <w:t>.</w:t>
      </w:r>
    </w:p>
    <w:p w14:paraId="744516F9" w14:textId="7F5D1CA8" w:rsidR="00113615" w:rsidRPr="00113615" w:rsidRDefault="00113615" w:rsidP="007C1EB6">
      <w:pPr>
        <w:numPr>
          <w:ilvl w:val="0"/>
          <w:numId w:val="2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Proposal for “Employee Career Development” monograph (author: Schutt) </w:t>
      </w:r>
      <w:r w:rsidR="0068185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approved and is scheduled for release in June 2024. </w:t>
      </w:r>
      <w:r>
        <w:rPr>
          <w:rFonts w:ascii="Arial" w:hAnsi="Arial" w:cs="Arial"/>
          <w:i/>
        </w:rPr>
        <w:t>Content editors for this publication are Spencer Niles and Jessamyn Perlus.</w:t>
      </w:r>
    </w:p>
    <w:p w14:paraId="32A29B31" w14:textId="10052CB3" w:rsidR="00113615" w:rsidRDefault="009746FA" w:rsidP="007C1EB6">
      <w:pPr>
        <w:numPr>
          <w:ilvl w:val="0"/>
          <w:numId w:val="2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Content reviews for CG7 continue as scheduled (one complete instrument review published in February – FIRO-B, </w:t>
      </w:r>
      <w:r w:rsidR="00030E7E">
        <w:rPr>
          <w:rFonts w:ascii="Arial" w:hAnsi="Arial" w:cs="Arial"/>
        </w:rPr>
        <w:t>two instrument reviews undergoing a content review</w:t>
      </w:r>
      <w:r>
        <w:rPr>
          <w:rFonts w:ascii="Arial" w:hAnsi="Arial" w:cs="Arial"/>
        </w:rPr>
        <w:t xml:space="preserve">  – Life Balance Inventory</w:t>
      </w:r>
      <w:r w:rsidR="00030E7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Career Decision Scale</w:t>
      </w:r>
      <w:r w:rsidR="00030E7E">
        <w:rPr>
          <w:rFonts w:ascii="Arial" w:hAnsi="Arial" w:cs="Arial"/>
        </w:rPr>
        <w:t xml:space="preserve"> (both due in March)</w:t>
      </w:r>
      <w:r>
        <w:rPr>
          <w:rFonts w:ascii="Arial" w:hAnsi="Arial" w:cs="Arial"/>
        </w:rPr>
        <w:t xml:space="preserve">, and one </w:t>
      </w:r>
      <w:r w:rsidR="00030E7E">
        <w:rPr>
          <w:rFonts w:ascii="Arial" w:hAnsi="Arial" w:cs="Arial"/>
        </w:rPr>
        <w:t>instrument</w:t>
      </w:r>
      <w:r>
        <w:rPr>
          <w:rFonts w:ascii="Arial" w:hAnsi="Arial" w:cs="Arial"/>
        </w:rPr>
        <w:t xml:space="preserve"> review</w:t>
      </w:r>
      <w:r w:rsidR="00030E7E">
        <w:rPr>
          <w:rFonts w:ascii="Arial" w:hAnsi="Arial" w:cs="Arial"/>
        </w:rPr>
        <w:t xml:space="preserve"> being written</w:t>
      </w:r>
      <w:r>
        <w:rPr>
          <w:rFonts w:ascii="Arial" w:hAnsi="Arial" w:cs="Arial"/>
        </w:rPr>
        <w:t xml:space="preserve"> – Work-Life Balance Inventory)</w:t>
      </w:r>
      <w:bookmarkStart w:id="0" w:name="_GoBack"/>
      <w:bookmarkEnd w:id="0"/>
      <w:r>
        <w:rPr>
          <w:rFonts w:ascii="Arial" w:hAnsi="Arial" w:cs="Arial"/>
        </w:rPr>
        <w:t xml:space="preserve">; over 13 NCDA members offering to write reviews and additional instruments are being collected for assignment and review. </w:t>
      </w:r>
    </w:p>
    <w:p w14:paraId="227C2E5C" w14:textId="51343EC1" w:rsidR="009746FA" w:rsidRDefault="009746FA" w:rsidP="007C1EB6">
      <w:pPr>
        <w:numPr>
          <w:ilvl w:val="0"/>
          <w:numId w:val="2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>Positive relationship and shared insights with NACADA</w:t>
      </w:r>
      <w:r w:rsidR="00030E7E">
        <w:rPr>
          <w:rFonts w:ascii="Arial" w:hAnsi="Arial" w:cs="Arial"/>
        </w:rPr>
        <w:t xml:space="preserve"> and a possible joint publication for 2027</w:t>
      </w:r>
      <w:r>
        <w:rPr>
          <w:rFonts w:ascii="Arial" w:hAnsi="Arial" w:cs="Arial"/>
        </w:rPr>
        <w:t>, prompting discussion about potential changes to PDC’s review process based on ideas from NACADA’s process; decision made to continue current PDC process and continue to evaluate opportunities to increase NCDA member buy-in and partnership.</w:t>
      </w:r>
    </w:p>
    <w:p w14:paraId="76B59D27" w14:textId="0E4A3751" w:rsidR="009746FA" w:rsidRDefault="009746FA" w:rsidP="00EF7F19">
      <w:pPr>
        <w:numPr>
          <w:ilvl w:val="0"/>
          <w:numId w:val="2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Increased AD marketing efforts through SAGE and ASCA with no measurable outcomes, PDC decision to not repeat SAGE ads, continue to explore ASCA and work to identify other </w:t>
      </w:r>
      <w:r w:rsidR="0062219F">
        <w:rPr>
          <w:rFonts w:ascii="Arial" w:hAnsi="Arial" w:cs="Arial"/>
        </w:rPr>
        <w:t xml:space="preserve">free options </w:t>
      </w:r>
      <w:r>
        <w:rPr>
          <w:rFonts w:ascii="Arial" w:hAnsi="Arial" w:cs="Arial"/>
        </w:rPr>
        <w:t>and</w:t>
      </w:r>
      <w:r w:rsidR="0062219F">
        <w:rPr>
          <w:rFonts w:ascii="Arial" w:hAnsi="Arial" w:cs="Arial"/>
        </w:rPr>
        <w:t xml:space="preserve"> </w:t>
      </w:r>
      <w:r w:rsidR="00030E7E">
        <w:rPr>
          <w:rFonts w:ascii="Arial" w:hAnsi="Arial" w:cs="Arial"/>
        </w:rPr>
        <w:t>continue regular</w:t>
      </w:r>
      <w:r>
        <w:rPr>
          <w:rFonts w:ascii="Arial" w:hAnsi="Arial" w:cs="Arial"/>
        </w:rPr>
        <w:t xml:space="preserve"> marketing </w:t>
      </w:r>
      <w:r w:rsidR="0062219F">
        <w:rPr>
          <w:rFonts w:ascii="Arial" w:hAnsi="Arial" w:cs="Arial"/>
        </w:rPr>
        <w:t>efforts</w:t>
      </w:r>
      <w:r>
        <w:rPr>
          <w:rFonts w:ascii="Arial" w:hAnsi="Arial" w:cs="Arial"/>
        </w:rPr>
        <w:t>.</w:t>
      </w:r>
    </w:p>
    <w:p w14:paraId="36743639" w14:textId="77777777" w:rsidR="00681852" w:rsidRDefault="00681852" w:rsidP="009746FA">
      <w:pPr>
        <w:ind w:right="-720"/>
        <w:rPr>
          <w:rFonts w:ascii="Arial" w:hAnsi="Arial" w:cs="Arial"/>
          <w:b/>
        </w:rPr>
      </w:pPr>
    </w:p>
    <w:p w14:paraId="54B06C34" w14:textId="5D2A2FAF" w:rsidR="00EF7F19" w:rsidRPr="009746FA" w:rsidRDefault="00EF7F19" w:rsidP="009746FA">
      <w:pPr>
        <w:ind w:right="-720"/>
        <w:rPr>
          <w:rFonts w:ascii="Arial" w:hAnsi="Arial" w:cs="Arial"/>
        </w:rPr>
      </w:pPr>
      <w:r w:rsidRPr="009746FA">
        <w:rPr>
          <w:rFonts w:ascii="Arial" w:hAnsi="Arial" w:cs="Arial"/>
          <w:b/>
        </w:rPr>
        <w:t>Projected Plan</w:t>
      </w:r>
      <w:r w:rsidR="00F40C8E" w:rsidRPr="009746FA">
        <w:rPr>
          <w:rFonts w:ascii="Arial" w:hAnsi="Arial" w:cs="Arial"/>
          <w:b/>
        </w:rPr>
        <w:t>/Work Completed</w:t>
      </w:r>
      <w:r w:rsidRPr="009746FA">
        <w:rPr>
          <w:rFonts w:ascii="Arial" w:hAnsi="Arial" w:cs="Arial"/>
          <w:b/>
        </w:rPr>
        <w:t xml:space="preserve"> through </w:t>
      </w:r>
      <w:r w:rsidR="00254D40" w:rsidRPr="009746FA">
        <w:rPr>
          <w:rFonts w:ascii="Arial" w:hAnsi="Arial" w:cs="Arial"/>
          <w:b/>
        </w:rPr>
        <w:t>September 30</w:t>
      </w:r>
      <w:r w:rsidR="004C474A" w:rsidRPr="009746FA">
        <w:rPr>
          <w:rFonts w:ascii="Arial" w:hAnsi="Arial" w:cs="Arial"/>
          <w:b/>
        </w:rPr>
        <w:t>:</w:t>
      </w:r>
    </w:p>
    <w:p w14:paraId="454DD20A" w14:textId="4814B448" w:rsidR="00F37C3B" w:rsidRDefault="00681852" w:rsidP="00B7183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Actively work to identify next PDC Chair (all members asked to consider role; follow-up with members at in-person June 2023 meeting, if not identified before)</w:t>
      </w:r>
    </w:p>
    <w:p w14:paraId="7F7B269F" w14:textId="2B7F14CD" w:rsidR="00F37C3B" w:rsidRDefault="00F37C3B" w:rsidP="00B7183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Continue work on Sampson &amp; Lenz monograph (June 2023 release) and begin work on Schutt monograph (June 2024 anticipated release). </w:t>
      </w:r>
    </w:p>
    <w:p w14:paraId="579693AB" w14:textId="227D302F" w:rsidR="00F37C3B" w:rsidRDefault="00F37C3B" w:rsidP="00F37C3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Continue </w:t>
      </w:r>
      <w:r w:rsidR="00681852">
        <w:rPr>
          <w:rFonts w:ascii="Arial" w:hAnsi="Arial" w:cs="Arial"/>
        </w:rPr>
        <w:t>content review and completion of CG7, led by Darrin Carr.</w:t>
      </w:r>
    </w:p>
    <w:p w14:paraId="17821CB0" w14:textId="5AB4726D" w:rsidR="00B71837" w:rsidRDefault="00F37C3B" w:rsidP="00F37C3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PDC to discuss publication ideas and plan for 2025 and 2026, and continue evaluating option of editions to “Experiential Activities” and “Career Counseling Casebook” (conversations started at November meeting). </w:t>
      </w:r>
      <w:r w:rsidR="009746FA" w:rsidRPr="00F37C3B">
        <w:rPr>
          <w:rFonts w:ascii="Arial" w:hAnsi="Arial" w:cs="Arial"/>
        </w:rPr>
        <w:t xml:space="preserve"> </w:t>
      </w:r>
    </w:p>
    <w:p w14:paraId="3D2DABE4" w14:textId="1B3D7FFA" w:rsidR="00030E7E" w:rsidRDefault="00030E7E" w:rsidP="00F37C3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PDC to further consideration of the collaboration with NCDA’s new Hub for continuing education from publications.</w:t>
      </w:r>
    </w:p>
    <w:p w14:paraId="553754B0" w14:textId="4FA845E2" w:rsidR="00030E7E" w:rsidRPr="00F37C3B" w:rsidRDefault="00030E7E" w:rsidP="00F37C3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PDC </w:t>
      </w:r>
      <w:r w:rsidRPr="00113615">
        <w:rPr>
          <w:rFonts w:ascii="Arial" w:hAnsi="Arial" w:cs="Arial"/>
        </w:rPr>
        <w:t>plan</w:t>
      </w:r>
      <w:r>
        <w:rPr>
          <w:rFonts w:ascii="Arial" w:hAnsi="Arial" w:cs="Arial"/>
        </w:rPr>
        <w:t>s</w:t>
      </w:r>
      <w:r w:rsidRPr="00113615">
        <w:rPr>
          <w:rFonts w:ascii="Arial" w:hAnsi="Arial" w:cs="Arial"/>
        </w:rPr>
        <w:t xml:space="preserve"> to meet in-person</w:t>
      </w:r>
      <w:r>
        <w:rPr>
          <w:rFonts w:ascii="Arial" w:hAnsi="Arial" w:cs="Arial"/>
        </w:rPr>
        <w:t xml:space="preserve"> at the NCDA conference</w:t>
      </w:r>
      <w:r w:rsidRPr="00113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June in Chicago.</w:t>
      </w:r>
    </w:p>
    <w:sectPr w:rsidR="00030E7E" w:rsidRPr="00F37C3B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A5144E"/>
    <w:multiLevelType w:val="hybridMultilevel"/>
    <w:tmpl w:val="69CC200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63E4AF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9"/>
    <w:rsid w:val="00017BF1"/>
    <w:rsid w:val="00030E7E"/>
    <w:rsid w:val="00113615"/>
    <w:rsid w:val="00113922"/>
    <w:rsid w:val="001227B9"/>
    <w:rsid w:val="001600B1"/>
    <w:rsid w:val="00172141"/>
    <w:rsid w:val="001924A9"/>
    <w:rsid w:val="001C021D"/>
    <w:rsid w:val="001F7F7C"/>
    <w:rsid w:val="00254D40"/>
    <w:rsid w:val="00283823"/>
    <w:rsid w:val="002A3B03"/>
    <w:rsid w:val="002B42CA"/>
    <w:rsid w:val="00317F8D"/>
    <w:rsid w:val="003A55C8"/>
    <w:rsid w:val="003B2892"/>
    <w:rsid w:val="00430F7D"/>
    <w:rsid w:val="00480F9C"/>
    <w:rsid w:val="00484ADA"/>
    <w:rsid w:val="004B5A1F"/>
    <w:rsid w:val="004C474A"/>
    <w:rsid w:val="004E443B"/>
    <w:rsid w:val="0052032D"/>
    <w:rsid w:val="00534226"/>
    <w:rsid w:val="00557B5E"/>
    <w:rsid w:val="00563AA4"/>
    <w:rsid w:val="0059644D"/>
    <w:rsid w:val="0062219F"/>
    <w:rsid w:val="00624156"/>
    <w:rsid w:val="00640102"/>
    <w:rsid w:val="00666266"/>
    <w:rsid w:val="00670E00"/>
    <w:rsid w:val="00681852"/>
    <w:rsid w:val="006912D1"/>
    <w:rsid w:val="006B1CF2"/>
    <w:rsid w:val="006C182F"/>
    <w:rsid w:val="006D1B39"/>
    <w:rsid w:val="006E37D2"/>
    <w:rsid w:val="006F401C"/>
    <w:rsid w:val="00734862"/>
    <w:rsid w:val="00775266"/>
    <w:rsid w:val="00784C5A"/>
    <w:rsid w:val="007C1EB6"/>
    <w:rsid w:val="007E7CB0"/>
    <w:rsid w:val="00834C6B"/>
    <w:rsid w:val="008806CE"/>
    <w:rsid w:val="0088260D"/>
    <w:rsid w:val="0089772D"/>
    <w:rsid w:val="008C1454"/>
    <w:rsid w:val="00926FF8"/>
    <w:rsid w:val="009515E9"/>
    <w:rsid w:val="009746FA"/>
    <w:rsid w:val="009D19BE"/>
    <w:rsid w:val="00A06CA9"/>
    <w:rsid w:val="00A44995"/>
    <w:rsid w:val="00A74DE1"/>
    <w:rsid w:val="00AA23DD"/>
    <w:rsid w:val="00AC5A68"/>
    <w:rsid w:val="00B0264E"/>
    <w:rsid w:val="00B71837"/>
    <w:rsid w:val="00B7205D"/>
    <w:rsid w:val="00B81E42"/>
    <w:rsid w:val="00BB5CAD"/>
    <w:rsid w:val="00C12C54"/>
    <w:rsid w:val="00C33CAD"/>
    <w:rsid w:val="00CB2E3A"/>
    <w:rsid w:val="00CE6A64"/>
    <w:rsid w:val="00D32A1C"/>
    <w:rsid w:val="00D52640"/>
    <w:rsid w:val="00D777B3"/>
    <w:rsid w:val="00D84163"/>
    <w:rsid w:val="00DB6EA3"/>
    <w:rsid w:val="00DE4769"/>
    <w:rsid w:val="00E04441"/>
    <w:rsid w:val="00E530B3"/>
    <w:rsid w:val="00E557AA"/>
    <w:rsid w:val="00E858D9"/>
    <w:rsid w:val="00EA71FD"/>
    <w:rsid w:val="00EC1769"/>
    <w:rsid w:val="00EF1A65"/>
    <w:rsid w:val="00EF7F19"/>
    <w:rsid w:val="00F34CE1"/>
    <w:rsid w:val="00F37C3B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6E37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0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0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102"/>
  </w:style>
  <w:style w:type="character" w:customStyle="1" w:styleId="CommentTextChar">
    <w:name w:val="Comment Text Char"/>
    <w:basedOn w:val="DefaultParagraphFont"/>
    <w:link w:val="CommentText"/>
    <w:uiPriority w:val="99"/>
    <w:rsid w:val="0064010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10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mily.Yowell@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5</cp:revision>
  <dcterms:created xsi:type="dcterms:W3CDTF">2023-03-05T16:17:00Z</dcterms:created>
  <dcterms:modified xsi:type="dcterms:W3CDTF">2023-03-06T14:15:00Z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